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-141.73228346456688" w:right="-324.3307086614169" w:firstLine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Pozvánka na shromáždění v pondělí 23. 6. 2025 od 18:00</w:t>
      </w:r>
    </w:p>
    <w:p w:rsidR="00000000" w:rsidDel="00000000" w:rsidP="00000000" w:rsidRDefault="00000000" w:rsidRPr="00000000" w14:paraId="00000002">
      <w:pPr>
        <w:spacing w:after="200" w:line="276" w:lineRule="auto"/>
        <w:ind w:left="-141.73228346456688" w:right="-324.3307086614169" w:firstLine="0"/>
        <w:jc w:val="both"/>
        <w:rPr/>
      </w:pPr>
      <w:r w:rsidDel="00000000" w:rsidR="00000000" w:rsidRPr="00000000">
        <w:rPr>
          <w:rtl w:val="0"/>
        </w:rPr>
        <w:t xml:space="preserve">Vážení vlastníci,</w:t>
      </w:r>
    </w:p>
    <w:p w:rsidR="00000000" w:rsidDel="00000000" w:rsidP="00000000" w:rsidRDefault="00000000" w:rsidRPr="00000000" w14:paraId="00000003">
      <w:pPr>
        <w:spacing w:after="200" w:line="276" w:lineRule="auto"/>
        <w:ind w:left="-141.73228346456688" w:right="-324.3307086614169" w:firstLine="0"/>
        <w:jc w:val="both"/>
        <w:rPr/>
      </w:pPr>
      <w:r w:rsidDel="00000000" w:rsidR="00000000" w:rsidRPr="00000000">
        <w:rPr>
          <w:rtl w:val="0"/>
        </w:rPr>
        <w:t xml:space="preserve">přijměte prosím pozvání na </w:t>
      </w:r>
      <w:r w:rsidDel="00000000" w:rsidR="00000000" w:rsidRPr="00000000">
        <w:rPr>
          <w:b w:val="1"/>
          <w:rtl w:val="0"/>
        </w:rPr>
        <w:t xml:space="preserve">shromáždění Společenství vlastníků bytových jednotek pro dům čp. 209, 2449, 2452, 2453, 2450, 2451, ul. Bečvářova a Dětská, Praha 10, svolané výborem na pondělí 23. 6. 2025 od 18:00</w:t>
      </w:r>
      <w:r w:rsidDel="00000000" w:rsidR="00000000" w:rsidRPr="00000000">
        <w:rPr>
          <w:rtl w:val="0"/>
        </w:rPr>
        <w:t xml:space="preserve"> ve společných prostorech ve vchodu Dětská 21.</w:t>
      </w:r>
    </w:p>
    <w:p w:rsidR="00000000" w:rsidDel="00000000" w:rsidP="00000000" w:rsidRDefault="00000000" w:rsidRPr="00000000" w14:paraId="00000004">
      <w:pPr>
        <w:spacing w:after="200" w:line="276" w:lineRule="auto"/>
        <w:ind w:left="-141.73228346456688" w:right="-324.33070866141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line="276" w:lineRule="auto"/>
        <w:ind w:left="720" w:right="-324.3307086614169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Rozvody elektřiny a fotovoltaika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before="0" w:line="276" w:lineRule="auto"/>
        <w:ind w:left="720" w:right="-324.3307086614169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Hospodaření SVJ za rok 2024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before="0" w:line="276" w:lineRule="auto"/>
        <w:ind w:left="720" w:right="-324.3307086614169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Oplocení pozemku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line="276" w:lineRule="auto"/>
        <w:ind w:left="720" w:right="-324.3307086614169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Různé</w:t>
      </w:r>
    </w:p>
    <w:p w:rsidR="00000000" w:rsidDel="00000000" w:rsidP="00000000" w:rsidRDefault="00000000" w:rsidRPr="00000000" w14:paraId="00000009">
      <w:pPr>
        <w:pStyle w:val="Heading2"/>
        <w:spacing w:after="200" w:line="276" w:lineRule="auto"/>
        <w:ind w:left="-141.73228346456688" w:right="-324.3307086614169" w:firstLine="0"/>
        <w:jc w:val="both"/>
        <w:rPr/>
      </w:pPr>
      <w:bookmarkStart w:colFirst="0" w:colLast="0" w:name="_dpjdeb168bse" w:id="0"/>
      <w:bookmarkEnd w:id="0"/>
      <w:r w:rsidDel="00000000" w:rsidR="00000000" w:rsidRPr="00000000">
        <w:rPr>
          <w:rtl w:val="0"/>
        </w:rPr>
        <w:t xml:space="preserve">Rozvody elektřiny a fotovoltaika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 shromáždění dne 19. 6. 2024 jsme se usnesli, že rekonstrukci rozvodů elektřiny spojíme s instalací střešní fotovoltaické elektrárny (FVE). Dne 7.4.2025 proběhla informační schůzka, na které jsme diskutovali záměr a jeho možnou realizaci. Zrekapitulovali jsme přínosy projektu, technologické informace, i očekávané úspory.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Sloučení rekonstrukce společných rozvodů elektřiny a instalace FVE přinese úsporu nákladů. FVE dlouhodobě sníží náklady na elektřinu - hodnota vyrobené energie převýší pořizovací náklady systému. Úspory pak budou rozpočítány mezi jednotlivé jednotky podle podlahové plochy. Elektřinu z FVE bude možné využít v bytech.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Projekt je výhodný i z důvodu dostupných dotací z fondů EU. Více informací také na webu NZU: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https://novazelenausporam.cz/bytove-domy/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Výbor oslovil několik firem a na základě výkonu FVE a doby, za kterou se investice vrátí, </w:t>
      </w:r>
      <w:r w:rsidDel="00000000" w:rsidR="00000000" w:rsidRPr="00000000">
        <w:rPr>
          <w:b w:val="1"/>
          <w:rtl w:val="0"/>
        </w:rPr>
        <w:t xml:space="preserve">jako nejvýhodnější vyhodnotil nabídku firmy Energo Group </w:t>
      </w:r>
      <w:r w:rsidDel="00000000" w:rsidR="00000000" w:rsidRPr="00000000">
        <w:rPr>
          <w:rtl w:val="0"/>
        </w:rPr>
        <w:t xml:space="preserve">(všechny nabídky jsou k dispozici na webu SVJ, případně na vyžádání u členů výboru). </w:t>
      </w:r>
    </w:p>
    <w:p w:rsidR="00000000" w:rsidDel="00000000" w:rsidP="00000000" w:rsidRDefault="00000000" w:rsidRPr="00000000" w14:paraId="0000000E">
      <w:pPr>
        <w:spacing w:after="80" w:line="276" w:lineRule="auto"/>
        <w:ind w:left="141.73228346456688" w:right="-324.33070866141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Parametry nabídky: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right="-32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celkový instalovaný výkon: cca 100 kWp,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76" w:lineRule="auto"/>
        <w:ind w:left="720" w:right="-32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bez baterií, s akumulací energie pomocí ohřevu vody, využití elektřiny do bytů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76" w:lineRule="auto"/>
        <w:ind w:left="720" w:right="-32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bez slučování odběrných míst,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76" w:lineRule="auto"/>
        <w:ind w:left="720" w:right="-32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garantovaná životnost panelů: 20 let,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right="-32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očekávaná návratnost investice: do 5 let.</w:t>
      </w:r>
    </w:p>
    <w:p w:rsidR="00000000" w:rsidDel="00000000" w:rsidP="00000000" w:rsidRDefault="00000000" w:rsidRPr="00000000" w14:paraId="00000014">
      <w:pPr>
        <w:spacing w:after="0" w:line="276" w:lineRule="auto"/>
        <w:ind w:left="720" w:right="-324.33070866141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 nabídce jsou zahrnuty celkové náklady na rekonstrukci svislých rozvodů elektřiny spolu s instalací FVE, a to</w:t>
      </w:r>
      <w:r w:rsidDel="00000000" w:rsidR="00000000" w:rsidRPr="00000000">
        <w:rPr>
          <w:rtl w:val="0"/>
        </w:rPr>
        <w:t xml:space="preserve"> 5,7 mil. Kč včetně DPH</w:t>
      </w:r>
      <w:r w:rsidDel="00000000" w:rsidR="00000000" w:rsidRPr="00000000">
        <w:rPr>
          <w:rtl w:val="0"/>
        </w:rPr>
        <w:t xml:space="preserve">. Předpokládaná výše dotace je 2,2 mil. Kč, náklady pro naše SVJ tedy činí 3,5 mil. Kč včetně DPH. Na shromáždění bude pro rekapitulaci technických informací a případné dotazy po určitou dobu přítomen zástupce firmy.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 základě doporučení revizní zprávy bude souběžně s rekonstrukcí elektroinstalace nutné provést i rekonstrukci rozvodů plynu. Vzhledem pomalým reakcím oslovených firem máme v tuto chvíli k dispozici pouze neúplnou nabídku od firmy IT Servis Praha a příslib dodání nabídky od firmy AquaPlumb (opět k dispozici na webu SVJ, případně na vyžádání u členů výboru). Doufáme, že d</w:t>
      </w:r>
      <w:r w:rsidDel="00000000" w:rsidR="00000000" w:rsidRPr="00000000">
        <w:rPr>
          <w:rtl w:val="0"/>
        </w:rPr>
        <w:t xml:space="preserve">o konání shromáždění budeme mít finální nabídky i na rekonstrukci plynu. </w:t>
      </w:r>
    </w:p>
    <w:p w:rsidR="00000000" w:rsidDel="00000000" w:rsidP="00000000" w:rsidRDefault="00000000" w:rsidRPr="00000000" w14:paraId="00000017">
      <w:pPr>
        <w:spacing w:after="80" w:line="276" w:lineRule="auto"/>
        <w:ind w:left="141.73228346456688" w:right="-324.33070866141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Důležité informace k rozhodnutí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80" w:line="276" w:lineRule="auto"/>
        <w:ind w:left="720" w:right="-32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Projektová příprava elektroinstalace a FVE je časově náročná; naopak projekt na rekonstrukci rozvodů plynu už máme zpracován.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80" w:before="0" w:line="276" w:lineRule="auto"/>
        <w:ind w:left="720" w:right="-32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dotaci je nutné zažádat co nejdříve, neboť peníze v příslušném dotačním fondu mohou být brzy vyčerpány.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80" w:before="0" w:line="276" w:lineRule="auto"/>
        <w:ind w:left="720" w:right="-324.3307086614169" w:hanging="360"/>
        <w:jc w:val="both"/>
        <w:rPr/>
      </w:pPr>
      <w:r w:rsidDel="00000000" w:rsidR="00000000" w:rsidRPr="00000000">
        <w:rPr>
          <w:rtl w:val="0"/>
        </w:rPr>
        <w:t xml:space="preserve">Na základě schváleného záměru z roku 2024 výbor poptával realizaci elektroinstalace společně s FVE. Jinak bude nutné celý proces výběru firmy na rekonstrukci elektřiny začít od začátku a cena nebude tak výhodná. Máme porovnání s ostatními bloky A1, A3, kde již rekonstrukce společných rozvodů provedli (za srovnatelné nebo vyšší ceny, ale bez FVE).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80" w:before="0" w:line="276" w:lineRule="auto"/>
        <w:ind w:left="720" w:right="-32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Vzhledem k tomu, že jsou jednotlivé vchody připojeny k distribuční síti samostatně, je třeba realizovat celý proces pro každý vchod zvlášť – tedy 6 smluv, 6 dotací, 6 schválení atd. Realizace se předpokládá cca 4 měsíce od podpisu smluv. Začátek projektu předpokládáme v průběhu července, ale k realizaci v místě dojde nejdříve v září (po schválení projektů, získání dotací a povolení).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80" w:before="0" w:line="276" w:lineRule="auto"/>
        <w:ind w:left="720" w:right="-32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Budeme si muset vzít úvěr na větší část investice. Tento měsíc uhradíme poslední splátku úvěru na zateplení fasády, a můžeme tedy požádat o nový úvěr na tuto investici. Tedy není třeba zvýšení příspěvku do fondu oprav ani mimořádné platby. Nabídky od bank budou představeny na shromáždění.</w:t>
        <w:br w:type="textWrapping"/>
      </w:r>
    </w:p>
    <w:p w:rsidR="00000000" w:rsidDel="00000000" w:rsidP="00000000" w:rsidRDefault="00000000" w:rsidRPr="00000000" w14:paraId="0000001D">
      <w:pPr>
        <w:spacing w:after="200" w:line="276" w:lineRule="auto"/>
        <w:ind w:left="0" w:right="-324.33070866141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Technické provedení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60" w:line="276" w:lineRule="auto"/>
        <w:ind w:left="720" w:right="-32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Zásahy v bytech nejsou plánovány.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60" w:line="276" w:lineRule="auto"/>
        <w:ind w:left="720" w:hanging="360"/>
      </w:pPr>
      <w:r w:rsidDel="00000000" w:rsidR="00000000" w:rsidRPr="00000000">
        <w:rPr>
          <w:rtl w:val="0"/>
        </w:rPr>
        <w:t xml:space="preserve">Skříňky na chodbách zůstanou zachovány, zůstane pouze nový, menší, plynoměr. V rámci rekonstrukce budou stávající plynoměry vyměněny, aby odpovídaly současným normám. Elektrické měření se přesune do společného rozvaděče.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60" w:line="276" w:lineRule="auto"/>
        <w:ind w:left="720" w:right="-32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 rekonstrukci budou mít možnost třífázového připojení všichni vlastníci. Aktuálně má třífázový elektroměr přibližně třetina bytů. Rozšíření této možnosti bude výhodné zejména pro ty, kteří plánují přechod z plynového sporáku na indukční varnou desku nebo jiný výkonově náročnější elektrický spotřebič.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60" w:line="276" w:lineRule="auto"/>
        <w:ind w:left="720" w:hanging="360"/>
      </w:pPr>
      <w:r w:rsidDel="00000000" w:rsidR="00000000" w:rsidRPr="00000000">
        <w:rPr>
          <w:rtl w:val="0"/>
        </w:rPr>
        <w:t xml:space="preserve">Každý vlastník se rozhodne, zda chce plyn zachovat. Pokud bude vlastník chtít plyn zachovat, měl by uvažovat o rekonstrukci plynových rozvodů v bytě podle dnes platných norem, aby nedocházelo k úniku plynu. </w:t>
        <w:br w:type="textWrapping"/>
      </w:r>
    </w:p>
    <w:p w:rsidR="00000000" w:rsidDel="00000000" w:rsidP="00000000" w:rsidRDefault="00000000" w:rsidRPr="00000000" w14:paraId="00000022">
      <w:pPr>
        <w:spacing w:after="80" w:line="276" w:lineRule="auto"/>
        <w:ind w:left="141.73228346456688" w:right="-324.3307086614169" w:firstLine="0"/>
        <w:jc w:val="center"/>
        <w:rPr/>
      </w:pPr>
      <w:r w:rsidDel="00000000" w:rsidR="00000000" w:rsidRPr="00000000">
        <w:rPr>
          <w:rtl w:val="0"/>
        </w:rPr>
        <w:br w:type="textWrapping"/>
        <w:t xml:space="preserve">Návrh rozhodnutí: </w:t>
      </w:r>
    </w:p>
    <w:p w:rsidR="00000000" w:rsidDel="00000000" w:rsidP="00000000" w:rsidRDefault="00000000" w:rsidRPr="00000000" w14:paraId="00000023">
      <w:pPr>
        <w:spacing w:after="80" w:line="276" w:lineRule="auto"/>
        <w:ind w:left="141.73228346456688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Shromáždění souhlasí s uzavřením smluv na rekonstrukci svislých rozvodů elektřiny a instalaci střešní FVE s firmou Energo Group s maximálním plněním (bez započtení předpokládané dotace) do 6 mil. Kč včetně DPH. </w:t>
      </w:r>
    </w:p>
    <w:p w:rsidR="00000000" w:rsidDel="00000000" w:rsidP="00000000" w:rsidRDefault="00000000" w:rsidRPr="00000000" w14:paraId="00000024">
      <w:pPr>
        <w:spacing w:after="200" w:line="276" w:lineRule="auto"/>
        <w:ind w:left="141.73228346456688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Shromáždění dále souhlasí s financováním rekonstrukce pomocí bankovního úvěru.</w:t>
      </w:r>
    </w:p>
    <w:p w:rsidR="00000000" w:rsidDel="00000000" w:rsidP="00000000" w:rsidRDefault="00000000" w:rsidRPr="00000000" w14:paraId="00000025">
      <w:pPr>
        <w:spacing w:after="200" w:line="276" w:lineRule="auto"/>
        <w:ind w:left="141.73228346456688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spacing w:after="200" w:line="276" w:lineRule="auto"/>
        <w:ind w:right="-324.3307086614169"/>
        <w:jc w:val="both"/>
        <w:rPr/>
      </w:pPr>
      <w:bookmarkStart w:colFirst="0" w:colLast="0" w:name="_8eth9v6xvo8j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after="200" w:line="276" w:lineRule="auto"/>
        <w:ind w:right="-324.3307086614169"/>
        <w:jc w:val="both"/>
        <w:rPr/>
      </w:pPr>
      <w:bookmarkStart w:colFirst="0" w:colLast="0" w:name="_euz7tcxo0dr2" w:id="2"/>
      <w:bookmarkEnd w:id="2"/>
      <w:r w:rsidDel="00000000" w:rsidR="00000000" w:rsidRPr="00000000">
        <w:rPr>
          <w:rtl w:val="0"/>
        </w:rPr>
        <w:t xml:space="preserve">Hospodaření SVJ za rok 2024</w:t>
      </w:r>
    </w:p>
    <w:p w:rsidR="00000000" w:rsidDel="00000000" w:rsidP="00000000" w:rsidRDefault="00000000" w:rsidRPr="00000000" w14:paraId="00000028">
      <w:pPr>
        <w:spacing w:after="200" w:line="276" w:lineRule="auto"/>
        <w:ind w:left="141.73228346456688" w:right="-324.3307086614169" w:firstLine="0"/>
        <w:jc w:val="both"/>
        <w:rPr/>
      </w:pPr>
      <w:r w:rsidDel="00000000" w:rsidR="00000000" w:rsidRPr="00000000">
        <w:rPr>
          <w:rtl w:val="0"/>
        </w:rPr>
        <w:t xml:space="preserve">V příloze naleznete přehled hospodaření a zprávu o činnosti výboru za minulý rok.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ind w:left="141.73228346456688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Návrh rozhodnutí: </w:t>
        <w:br w:type="textWrapping"/>
      </w:r>
      <w:r w:rsidDel="00000000" w:rsidR="00000000" w:rsidRPr="00000000">
        <w:rPr>
          <w:b w:val="1"/>
          <w:rtl w:val="0"/>
        </w:rPr>
        <w:t xml:space="preserve">Shromáždění souhlasí se zprávou o hospodaření za rok 2024.</w:t>
      </w:r>
    </w:p>
    <w:p w:rsidR="00000000" w:rsidDel="00000000" w:rsidP="00000000" w:rsidRDefault="00000000" w:rsidRPr="00000000" w14:paraId="0000002A">
      <w:pPr>
        <w:spacing w:after="200" w:line="276" w:lineRule="auto"/>
        <w:ind w:left="141.73228346456688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spacing w:after="200" w:line="276" w:lineRule="auto"/>
        <w:ind w:right="-324.3307086614169"/>
        <w:jc w:val="both"/>
        <w:rPr/>
      </w:pPr>
      <w:bookmarkStart w:colFirst="0" w:colLast="0" w:name="_k640wcspzk47" w:id="3"/>
      <w:bookmarkEnd w:id="3"/>
      <w:r w:rsidDel="00000000" w:rsidR="00000000" w:rsidRPr="00000000">
        <w:rPr>
          <w:rtl w:val="0"/>
        </w:rPr>
        <w:t xml:space="preserve">Oplocení</w:t>
      </w:r>
    </w:p>
    <w:p w:rsidR="00000000" w:rsidDel="00000000" w:rsidP="00000000" w:rsidRDefault="00000000" w:rsidRPr="00000000" w14:paraId="0000002C">
      <w:pPr>
        <w:spacing w:after="200" w:line="276" w:lineRule="auto"/>
        <w:ind w:right="-324.3307086614169"/>
        <w:jc w:val="both"/>
        <w:rPr/>
      </w:pPr>
      <w:r w:rsidDel="00000000" w:rsidR="00000000" w:rsidRPr="00000000">
        <w:rPr>
          <w:rtl w:val="0"/>
        </w:rPr>
        <w:t xml:space="preserve">Dům A3 plánuje postavit plot kolem svého pozemku do konce roku 2025. Předpokládané náklady jsou přibližně 170 000 Kč. </w:t>
      </w:r>
    </w:p>
    <w:p w:rsidR="00000000" w:rsidDel="00000000" w:rsidP="00000000" w:rsidRDefault="00000000" w:rsidRPr="00000000" w14:paraId="0000002D">
      <w:pPr>
        <w:spacing w:after="200" w:line="276" w:lineRule="auto"/>
        <w:ind w:right="-324.3307086614169"/>
        <w:jc w:val="both"/>
        <w:rPr/>
      </w:pPr>
      <w:r w:rsidDel="00000000" w:rsidR="00000000" w:rsidRPr="00000000">
        <w:rPr>
          <w:rtl w:val="0"/>
        </w:rPr>
        <w:t xml:space="preserve">Na posledním shromáždění se nepodařilo dosáhnout jednoznačného rozhodnutí ohledně oplocení našeho pozemku. Část vlastníků je pro oplocení a na informační schůzce zazněl požadavek, aby bylo o tomto záměru znovu hlasováno. </w:t>
      </w:r>
    </w:p>
    <w:p w:rsidR="00000000" w:rsidDel="00000000" w:rsidP="00000000" w:rsidRDefault="00000000" w:rsidRPr="00000000" w14:paraId="0000002E">
      <w:pPr>
        <w:spacing w:after="200" w:line="276" w:lineRule="auto"/>
        <w:ind w:left="141.73228346456688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Návrh rozhodnutí podle výsledku hlasování: </w:t>
        <w:br w:type="textWrapping"/>
      </w:r>
      <w:r w:rsidDel="00000000" w:rsidR="00000000" w:rsidRPr="00000000">
        <w:rPr>
          <w:b w:val="1"/>
          <w:rtl w:val="0"/>
        </w:rPr>
        <w:t xml:space="preserve">Shromáždění ne/souhlasí s oplocením zahrady.</w:t>
      </w:r>
    </w:p>
    <w:p w:rsidR="00000000" w:rsidDel="00000000" w:rsidP="00000000" w:rsidRDefault="00000000" w:rsidRPr="00000000" w14:paraId="0000002F">
      <w:pPr>
        <w:spacing w:after="200" w:line="276" w:lineRule="auto"/>
        <w:ind w:left="141.73228346456688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after="200" w:line="276" w:lineRule="auto"/>
        <w:ind w:right="-324.3307086614169"/>
        <w:jc w:val="both"/>
        <w:rPr/>
      </w:pPr>
      <w:bookmarkStart w:colFirst="0" w:colLast="0" w:name="_wd0lbo9hsbch" w:id="4"/>
      <w:bookmarkEnd w:id="4"/>
      <w:r w:rsidDel="00000000" w:rsidR="00000000" w:rsidRPr="00000000">
        <w:rPr>
          <w:rtl w:val="0"/>
        </w:rPr>
        <w:t xml:space="preserve">Různé</w:t>
      </w:r>
    </w:p>
    <w:p w:rsidR="00000000" w:rsidDel="00000000" w:rsidP="00000000" w:rsidRDefault="00000000" w:rsidRPr="00000000" w14:paraId="00000031">
      <w:pPr>
        <w:spacing w:after="200" w:line="276" w:lineRule="auto"/>
        <w:ind w:left="425.19685039370086" w:hanging="283.464566929134"/>
        <w:jc w:val="both"/>
        <w:rPr/>
      </w:pPr>
      <w:r w:rsidDel="00000000" w:rsidR="00000000" w:rsidRPr="00000000">
        <w:rPr>
          <w:rtl w:val="0"/>
        </w:rPr>
        <w:t xml:space="preserve">Prostor pro diskuzi k dalším tématům.</w:t>
      </w:r>
    </w:p>
    <w:p w:rsidR="00000000" w:rsidDel="00000000" w:rsidP="00000000" w:rsidRDefault="00000000" w:rsidRPr="00000000" w14:paraId="00000032">
      <w:pPr>
        <w:spacing w:after="200" w:line="276" w:lineRule="auto"/>
        <w:ind w:left="425.19685039370086" w:hanging="283.464566929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76" w:lineRule="auto"/>
        <w:ind w:left="425.19685039370086" w:hanging="283.464566929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ind w:left="425.19685039370086" w:hanging="283.464566929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ind w:left="425.19685039370086" w:hanging="283.46456692913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76" w:lineRule="auto"/>
        <w:ind w:left="-141.73228346456688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Pokud se shromáždění nebudete moci zúčastnit, pověřte prosím plnou mocí třetí osobu, které důvěřujete. Případně po domluvě někoho z členů výboru. </w:t>
      </w:r>
    </w:p>
    <w:p w:rsidR="00000000" w:rsidDel="00000000" w:rsidP="00000000" w:rsidRDefault="00000000" w:rsidRPr="00000000" w14:paraId="00000037">
      <w:pPr>
        <w:spacing w:after="200" w:line="276" w:lineRule="auto"/>
        <w:ind w:left="-141.73228346456688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76" w:lineRule="auto"/>
        <w:ind w:left="-141.73228346456688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ind w:left="-141.73228346456688" w:firstLine="0"/>
        <w:jc w:val="right"/>
        <w:rPr/>
      </w:pPr>
      <w:r w:rsidDel="00000000" w:rsidR="00000000" w:rsidRPr="00000000">
        <w:rPr>
          <w:rtl w:val="0"/>
        </w:rPr>
        <w:t xml:space="preserve">V Praze, dne 6. 6. 2024, Michal Píše v. r., předseda výboru SVJ</w:t>
      </w:r>
    </w:p>
    <w:p w:rsidR="00000000" w:rsidDel="00000000" w:rsidP="00000000" w:rsidRDefault="00000000" w:rsidRPr="00000000" w14:paraId="0000003A">
      <w:pPr>
        <w:spacing w:after="200" w:line="276" w:lineRule="auto"/>
        <w:ind w:left="-141.73228346456688" w:firstLine="0"/>
        <w:jc w:val="right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vybor.detska21@gmail.com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before="240" w:lineRule="auto"/>
        <w:ind w:left="0" w:right="-324.3307086614169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Rule="auto"/>
        <w:ind w:left="141.73228346456688" w:right="-324.33070866141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Rule="auto"/>
        <w:ind w:left="141.73228346456688" w:right="-324.33070866141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="276" w:lineRule="auto"/>
        <w:ind w:left="720" w:right="0" w:hanging="720"/>
        <w:jc w:val="left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276" w:lineRule="auto"/>
        <w:ind w:left="720" w:right="0" w:hanging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Příloha:</w:t>
      </w:r>
    </w:p>
    <w:p w:rsidR="00000000" w:rsidDel="00000000" w:rsidP="00000000" w:rsidRDefault="00000000" w:rsidRPr="00000000" w14:paraId="00000040">
      <w:pPr>
        <w:spacing w:after="240" w:before="240" w:line="276" w:lineRule="auto"/>
        <w:ind w:left="425.19685039370086" w:right="0" w:hanging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110288" cy="549113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0288" cy="54911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276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Zpráva o činnosti výboru v roce 2024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8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Výbor se v průběhu roku 2024 sešel celkem pětkrát a průběžně řešil aktuální témata na týdenní bázi prostřednictvím online i osobní komunikace.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8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Průběžně byly sledovány a vyhodnocovány nedoplatky na úhradách za užívání bytu. V jednotlivých případech byli vlastníci upozorněni – ve většině šlo o opomenutí, které bylo vždy včas napraveno.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8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Na začátku roku 2024 byla dokončena havarijní rekonstrukce hlavního přívodu vody. Koordinace byla velmi časově náročná, a to zejména kvůli nutnosti spolupráce s více subjekty, projektantem ing. Ulrichem, firmou, která výměnu prováděla, tj. KSK Praha-inženýrské stavby s.r.o., společností Pražské vodovody a kanalizace, Úřadem městské části Prahy 10 a TSK. 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8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V červnu 2024 byla dokončena náročná rekonstrukce otopné soustavy, konkrétně ve vchodu 21 včetně výměny dvou radiátorů v nebytovém prostoru.  Tato část nebyla realizována již v roce 2023 kvůli tehdejší havárii vodovodní přípojky.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8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V září 2024 byly vyměněny vadné ventily otopných těles v bytech.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8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Byly podepsány nové nájemní smlouvy na nebytové prostory.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8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Ve spolupráci s několika aktivními vlastníky byly osázeny keře do mezer v živém plotě.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8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Začátkem roku se objevilo na domě graffiti, výbor zajistil jeho přemalování a v zápětí se objevilo na druhé straně domu. Výbor zvažoval využití programu Prahy 10 na potírání graffiti, ale ukázalo se jako obtížně využitelné.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8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Z důvodu končící životnosti bylo nutné vyměnit vodoměry za nové, které splňují požadavek na dálkový odečet podle platné legislativy. Výběrové řízení, které bylo časově náročné, vyhrála firma INMES. Vodoměry byly vyměněny v březnu 2025.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8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V průběhu roku jsme začali s přípravou rekonstrukce společné elektroinstalace a rozvodů plynu.</w:t>
      </w:r>
    </w:p>
    <w:p w:rsidR="00000000" w:rsidDel="00000000" w:rsidP="00000000" w:rsidRDefault="00000000" w:rsidRPr="00000000" w14:paraId="0000004C">
      <w:pPr>
        <w:spacing w:after="80" w:before="24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Revize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revize půdy 2/2024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revize plynu 5/2024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deratizace 9/2024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požární prohlídka 10/2024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40" w:before="0" w:beforeAutospacing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kontrola střechy, čištění žlabů a gajgrů 11/2024</w:t>
      </w:r>
    </w:p>
    <w:p w:rsidR="00000000" w:rsidDel="00000000" w:rsidP="00000000" w:rsidRDefault="00000000" w:rsidRPr="00000000" w14:paraId="00000052">
      <w:pPr>
        <w:spacing w:after="80" w:before="24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Opravy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oprava střechy - zatékání do bytů 2/2024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drobné opravy v různých vchodech 4/2024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240" w:before="0" w:beforeAutospacing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oprava netěsností plynu 10/2024</w:t>
      </w:r>
    </w:p>
    <w:p w:rsidR="00000000" w:rsidDel="00000000" w:rsidP="00000000" w:rsidRDefault="00000000" w:rsidRPr="00000000" w14:paraId="00000056">
      <w:pPr>
        <w:spacing w:after="200" w:lineRule="auto"/>
        <w:ind w:right="-324.3307086614169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13.3070866141725" w:top="1275.5905511811022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after="200" w:line="276" w:lineRule="auto"/>
        <w:ind w:left="-141.73228346456688" w:right="-324.3307086614169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ovazelenausporam.cz/bytove-domy/" TargetMode="External"/><Relationship Id="rId7" Type="http://schemas.openxmlformats.org/officeDocument/2006/relationships/hyperlink" Target="mailto:vybor.detska21@gmail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